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79" w:rsidRPr="00912B5D" w:rsidRDefault="000B2C79" w:rsidP="000B2C79">
      <w:pPr>
        <w:pStyle w:val="CM1"/>
        <w:spacing w:before="200" w:after="200"/>
        <w:jc w:val="both"/>
        <w:rPr>
          <w:rFonts w:ascii="Times New Roman" w:hAnsi="Times New Roman"/>
          <w:bCs/>
          <w:lang w:val="it-IT"/>
        </w:rPr>
      </w:pPr>
      <w:r w:rsidRPr="00912B5D">
        <w:rPr>
          <w:rFonts w:ascii="Times New Roman" w:hAnsi="Times New Roman"/>
          <w:lang w:val="it-IT"/>
        </w:rPr>
        <w:t xml:space="preserve">În data de 4 martie 2014 a avut loc conferinţa telefonică a grupei de lucru FEE Raportare Corporativă la care a participat şi reprezentantul C.E.C.C.A.R.  Conferinţa a inclus următoarele subiecte de dezbatere: implementarea recomandărilor </w:t>
      </w:r>
      <w:hyperlink r:id="rId4" w:history="1">
        <w:r w:rsidRPr="00912B5D">
          <w:rPr>
            <w:rStyle w:val="Hyperlink"/>
            <w:rFonts w:ascii="Times New Roman" w:hAnsi="Times New Roman"/>
            <w:lang w:val="it-IT"/>
          </w:rPr>
          <w:t xml:space="preserve">raportului </w:t>
        </w:r>
        <w:r w:rsidRPr="00912B5D">
          <w:rPr>
            <w:rStyle w:val="Hyperlink"/>
            <w:rFonts w:ascii="Times New Roman" w:hAnsi="Times New Roman"/>
            <w:bCs/>
            <w:lang w:val="it-IT"/>
          </w:rPr>
          <w:t>Maystadt</w:t>
        </w:r>
      </w:hyperlink>
      <w:r w:rsidRPr="00912B5D">
        <w:rPr>
          <w:rFonts w:ascii="Times New Roman" w:hAnsi="Times New Roman"/>
          <w:bCs/>
          <w:lang w:val="it-IT"/>
        </w:rPr>
        <w:t xml:space="preserve"> privind restructurarea EFRAG, </w:t>
      </w:r>
      <w:hyperlink r:id="rId5" w:history="1">
        <w:r>
          <w:rPr>
            <w:rStyle w:val="Hyperlink"/>
            <w:rFonts w:ascii="Times New Roman" w:hAnsi="Times New Roman"/>
            <w:bCs/>
            <w:lang w:val="it-IT"/>
          </w:rPr>
          <w:t>Ghidul</w:t>
        </w:r>
        <w:r w:rsidRPr="00912B5D">
          <w:rPr>
            <w:rStyle w:val="Hyperlink"/>
            <w:rFonts w:ascii="Times New Roman" w:hAnsi="Times New Roman"/>
            <w:bCs/>
            <w:lang w:val="it-IT"/>
          </w:rPr>
          <w:t xml:space="preserve"> privind indicatorii alternativi de performanţă</w:t>
        </w:r>
      </w:hyperlink>
      <w:r w:rsidRPr="00912B5D">
        <w:rPr>
          <w:rFonts w:ascii="Times New Roman" w:hAnsi="Times New Roman"/>
          <w:b/>
          <w:bCs/>
          <w:lang w:val="it-IT"/>
        </w:rPr>
        <w:t xml:space="preserve"> </w:t>
      </w:r>
      <w:r>
        <w:rPr>
          <w:rFonts w:ascii="Times New Roman" w:hAnsi="Times New Roman"/>
          <w:bCs/>
          <w:lang w:val="it-IT"/>
        </w:rPr>
        <w:t>lansat</w:t>
      </w:r>
      <w:r w:rsidRPr="00912B5D">
        <w:rPr>
          <w:rFonts w:ascii="Times New Roman" w:hAnsi="Times New Roman"/>
          <w:bCs/>
          <w:lang w:val="it-IT"/>
        </w:rPr>
        <w:t xml:space="preserve"> în consultare publică de către ESMA</w:t>
      </w:r>
      <w:r w:rsidRPr="00912B5D">
        <w:rPr>
          <w:rFonts w:ascii="Times New Roman" w:hAnsi="Times New Roman"/>
          <w:b/>
          <w:bCs/>
          <w:lang w:val="it-IT"/>
        </w:rPr>
        <w:t xml:space="preserve">, </w:t>
      </w:r>
      <w:hyperlink r:id="rId6" w:history="1">
        <w:r w:rsidRPr="00912B5D">
          <w:rPr>
            <w:rStyle w:val="Hyperlink"/>
            <w:rFonts w:ascii="Times New Roman" w:hAnsi="Times New Roman"/>
            <w:bCs/>
            <w:lang w:val="it-IT"/>
          </w:rPr>
          <w:t>comentariile FEE</w:t>
        </w:r>
      </w:hyperlink>
      <w:r w:rsidRPr="00912B5D">
        <w:rPr>
          <w:rFonts w:ascii="Times New Roman" w:hAnsi="Times New Roman"/>
          <w:bCs/>
          <w:lang w:val="it-IT"/>
        </w:rPr>
        <w:t xml:space="preserve"> privind </w:t>
      </w:r>
      <w:r>
        <w:rPr>
          <w:rFonts w:ascii="Times New Roman" w:hAnsi="Times New Roman"/>
          <w:bCs/>
          <w:lang w:val="it-IT"/>
        </w:rPr>
        <w:t>raportarea</w:t>
      </w:r>
      <w:r w:rsidRPr="00912B5D">
        <w:rPr>
          <w:rFonts w:ascii="Times New Roman" w:hAnsi="Times New Roman"/>
          <w:bCs/>
          <w:lang w:val="it-IT"/>
        </w:rPr>
        <w:t xml:space="preserve"> </w:t>
      </w:r>
      <w:r w:rsidRPr="00912B5D">
        <w:rPr>
          <w:rFonts w:ascii="Times New Roman" w:hAnsi="Times New Roman"/>
          <w:bCs/>
          <w:color w:val="000000"/>
          <w:lang w:val="it-IT"/>
        </w:rPr>
        <w:t xml:space="preserve">pentru fiecare </w:t>
      </w:r>
      <w:r>
        <w:rPr>
          <w:rFonts w:ascii="Times New Roman" w:hAnsi="Times New Roman"/>
          <w:bCs/>
          <w:color w:val="000000"/>
          <w:lang w:val="it-IT"/>
        </w:rPr>
        <w:t>ţ</w:t>
      </w:r>
      <w:r w:rsidRPr="00912B5D">
        <w:rPr>
          <w:rFonts w:ascii="Times New Roman" w:hAnsi="Times New Roman"/>
          <w:bCs/>
          <w:color w:val="000000"/>
          <w:lang w:val="it-IT"/>
        </w:rPr>
        <w:t xml:space="preserve">ară </w:t>
      </w:r>
      <w:r w:rsidR="00D71C61">
        <w:rPr>
          <w:rFonts w:ascii="Times New Roman" w:hAnsi="Times New Roman"/>
          <w:bCs/>
          <w:lang w:val="it-IT"/>
        </w:rPr>
        <w:t>prevăzută</w:t>
      </w:r>
      <w:r>
        <w:rPr>
          <w:rFonts w:ascii="Times New Roman" w:hAnsi="Times New Roman"/>
          <w:bCs/>
          <w:lang w:val="ro-RO"/>
        </w:rPr>
        <w:t xml:space="preserve"> </w:t>
      </w:r>
      <w:r w:rsidRPr="00912B5D">
        <w:rPr>
          <w:rFonts w:ascii="Times New Roman" w:hAnsi="Times New Roman"/>
          <w:bCs/>
          <w:lang w:val="it-IT"/>
        </w:rPr>
        <w:t>de articolul 89 al</w:t>
      </w:r>
      <w:r w:rsidRPr="00912B5D">
        <w:rPr>
          <w:rFonts w:ascii="Times New Roman" w:hAnsi="Times New Roman"/>
          <w:b/>
          <w:bCs/>
          <w:lang w:val="it-IT"/>
        </w:rPr>
        <w:t xml:space="preserve"> </w:t>
      </w:r>
      <w:hyperlink r:id="rId7" w:history="1">
        <w:r w:rsidRPr="00912B5D">
          <w:rPr>
            <w:rStyle w:val="Hyperlink"/>
            <w:rFonts w:ascii="Times New Roman" w:hAnsi="Times New Roman"/>
            <w:bCs/>
            <w:lang w:val="it-IT"/>
          </w:rPr>
          <w:t xml:space="preserve">Directivei 2013/36/UE a Parlamentului European </w:t>
        </w:r>
        <w:r>
          <w:rPr>
            <w:rStyle w:val="Hyperlink"/>
            <w:rFonts w:ascii="Times New Roman" w:hAnsi="Times New Roman"/>
            <w:bCs/>
            <w:lang w:val="it-IT"/>
          </w:rPr>
          <w:t>ş</w:t>
        </w:r>
        <w:r w:rsidRPr="00912B5D">
          <w:rPr>
            <w:rStyle w:val="Hyperlink"/>
            <w:rFonts w:ascii="Times New Roman" w:hAnsi="Times New Roman"/>
            <w:bCs/>
            <w:lang w:val="it-IT"/>
          </w:rPr>
          <w:t>i a Consiliului</w:t>
        </w:r>
      </w:hyperlink>
      <w:r w:rsidRPr="00912B5D">
        <w:rPr>
          <w:rFonts w:ascii="Times New Roman" w:hAnsi="Times New Roman"/>
          <w:b/>
          <w:bCs/>
          <w:lang w:val="it-IT"/>
        </w:rPr>
        <w:t xml:space="preserve"> </w:t>
      </w:r>
      <w:r w:rsidRPr="00912B5D">
        <w:rPr>
          <w:rFonts w:ascii="Times New Roman" w:hAnsi="Times New Roman"/>
          <w:bCs/>
          <w:color w:val="000000"/>
          <w:lang w:val="it-IT"/>
        </w:rPr>
        <w:t>din 26 iunie 2013 cu privire la accesul la activitatea institu</w:t>
      </w:r>
      <w:r>
        <w:rPr>
          <w:rFonts w:ascii="Times New Roman" w:hAnsi="Times New Roman"/>
          <w:bCs/>
          <w:color w:val="000000"/>
          <w:lang w:val="it-IT"/>
        </w:rPr>
        <w:t>ţ</w:t>
      </w:r>
      <w:r w:rsidRPr="00912B5D">
        <w:rPr>
          <w:rFonts w:ascii="Times New Roman" w:hAnsi="Times New Roman"/>
          <w:bCs/>
          <w:color w:val="000000"/>
          <w:lang w:val="it-IT"/>
        </w:rPr>
        <w:t xml:space="preserve">iilor de credit </w:t>
      </w:r>
      <w:r>
        <w:rPr>
          <w:rFonts w:ascii="Times New Roman" w:hAnsi="Times New Roman"/>
          <w:bCs/>
          <w:color w:val="000000"/>
          <w:lang w:val="it-IT"/>
        </w:rPr>
        <w:t>ş</w:t>
      </w:r>
      <w:r w:rsidRPr="00912B5D">
        <w:rPr>
          <w:rFonts w:ascii="Times New Roman" w:hAnsi="Times New Roman"/>
          <w:bCs/>
          <w:color w:val="000000"/>
          <w:lang w:val="it-IT"/>
        </w:rPr>
        <w:t>i supravegherea pruden</w:t>
      </w:r>
      <w:r>
        <w:rPr>
          <w:rFonts w:ascii="Times New Roman" w:hAnsi="Times New Roman"/>
          <w:bCs/>
          <w:color w:val="000000"/>
          <w:lang w:val="it-IT"/>
        </w:rPr>
        <w:t>ţ</w:t>
      </w:r>
      <w:r w:rsidRPr="00912B5D">
        <w:rPr>
          <w:rFonts w:ascii="Times New Roman" w:hAnsi="Times New Roman"/>
          <w:bCs/>
          <w:color w:val="000000"/>
          <w:lang w:val="it-IT"/>
        </w:rPr>
        <w:t>ială a institu</w:t>
      </w:r>
      <w:r>
        <w:rPr>
          <w:rFonts w:ascii="Times New Roman" w:hAnsi="Times New Roman"/>
          <w:bCs/>
          <w:color w:val="000000"/>
          <w:lang w:val="it-IT"/>
        </w:rPr>
        <w:t>ţ</w:t>
      </w:r>
      <w:r w:rsidRPr="00912B5D">
        <w:rPr>
          <w:rFonts w:ascii="Times New Roman" w:hAnsi="Times New Roman"/>
          <w:bCs/>
          <w:color w:val="000000"/>
          <w:lang w:val="it-IT"/>
        </w:rPr>
        <w:t xml:space="preserve">iilor de credit şi alte elemente de actualitate în domeniul auditului şi raportării corporative la nivel internaţional şi european. </w:t>
      </w:r>
    </w:p>
    <w:p w:rsidR="000B2C79" w:rsidRPr="00972BC0" w:rsidRDefault="000B2C79" w:rsidP="000B2C79">
      <w:pPr>
        <w:autoSpaceDE w:val="0"/>
        <w:autoSpaceDN w:val="0"/>
        <w:adjustRightInd w:val="0"/>
        <w:spacing w:after="0" w:line="240" w:lineRule="auto"/>
        <w:rPr>
          <w:rFonts w:ascii="Times New Roman" w:hAnsi="Times New Roman"/>
          <w:color w:val="000000"/>
          <w:sz w:val="24"/>
          <w:szCs w:val="24"/>
          <w:lang w:val="it-IT"/>
        </w:rPr>
      </w:pPr>
      <w:r w:rsidRPr="00972BC0">
        <w:rPr>
          <w:rFonts w:ascii="Times New Roman" w:hAnsi="Times New Roman"/>
          <w:sz w:val="24"/>
          <w:szCs w:val="24"/>
          <w:lang w:val="it-IT"/>
        </w:rPr>
        <w:t xml:space="preserve">În martie 2013 comisarul european pentru Piaţa Internă şi Servicii </w:t>
      </w:r>
      <w:r w:rsidRPr="00972BC0">
        <w:rPr>
          <w:rFonts w:ascii="Times New Roman" w:hAnsi="Times New Roman"/>
          <w:color w:val="000000"/>
          <w:sz w:val="24"/>
          <w:szCs w:val="24"/>
          <w:lang w:val="it-IT"/>
        </w:rPr>
        <w:t xml:space="preserve">Michel Barnier l-a însărcinat pe dl Philippe Maystadt să identifice şi să analizeze mijloacele prin care poate fi consolidată contribuţia Uniunii Europene la dezvoltarea standardelor IFRS şi cum ar putea fi îmbunătăţită guvernanţa organismelor europene care aprobă aceste standarde. Dl Philippe Maystadt a desfăşurat o serie de consultări şi a prezentat raportul său intitulat </w:t>
      </w:r>
      <w:r>
        <w:rPr>
          <w:rFonts w:ascii="Times New Roman" w:hAnsi="Times New Roman"/>
          <w:color w:val="000000"/>
          <w:sz w:val="24"/>
          <w:szCs w:val="24"/>
          <w:lang w:val="ro-RO"/>
        </w:rPr>
        <w:t>„</w:t>
      </w:r>
      <w:hyperlink r:id="rId8" w:history="1">
        <w:r w:rsidRPr="00972BC0">
          <w:rPr>
            <w:rStyle w:val="Hyperlink"/>
            <w:rFonts w:ascii="Times New Roman" w:hAnsi="Times New Roman"/>
            <w:sz w:val="24"/>
            <w:szCs w:val="24"/>
            <w:lang w:val="it-IT"/>
          </w:rPr>
          <w:t>Ar trebui să fie standardele IFRS mai europene?</w:t>
        </w:r>
      </w:hyperlink>
      <w:r w:rsidRPr="00972BC0">
        <w:rPr>
          <w:rFonts w:ascii="Times New Roman" w:hAnsi="Times New Roman"/>
          <w:color w:val="000000"/>
          <w:sz w:val="24"/>
          <w:szCs w:val="24"/>
          <w:lang w:val="it-IT"/>
        </w:rPr>
        <w:t xml:space="preserve"> </w:t>
      </w:r>
      <w:r>
        <w:rPr>
          <w:rFonts w:ascii="Times New Roman" w:hAnsi="Times New Roman"/>
          <w:color w:val="000000"/>
          <w:sz w:val="24"/>
          <w:szCs w:val="24"/>
          <w:lang w:val="it-IT"/>
        </w:rPr>
        <w:t xml:space="preserve">“ </w:t>
      </w:r>
      <w:r w:rsidRPr="00972BC0">
        <w:rPr>
          <w:rFonts w:ascii="Times New Roman" w:hAnsi="Times New Roman"/>
          <w:color w:val="000000"/>
          <w:sz w:val="24"/>
          <w:szCs w:val="24"/>
          <w:lang w:val="it-IT"/>
        </w:rPr>
        <w:t xml:space="preserve">în faţa Miniştrilor de Finanţe la Consiliul ECOFIN din 12 noiembrie 2013. În urma acestui raport a fost declaşat un proces de restructurare a EFRAG care va fi supravegheat din partea Comisiei de dl Maystadt. </w:t>
      </w:r>
    </w:p>
    <w:p w:rsidR="000B2C79" w:rsidRPr="00972BC0" w:rsidRDefault="000B2C79" w:rsidP="000B2C79">
      <w:pPr>
        <w:autoSpaceDE w:val="0"/>
        <w:autoSpaceDN w:val="0"/>
        <w:adjustRightInd w:val="0"/>
        <w:spacing w:after="0" w:line="240" w:lineRule="auto"/>
        <w:rPr>
          <w:rFonts w:ascii="Times New Roman" w:hAnsi="Times New Roman"/>
          <w:color w:val="000000"/>
          <w:sz w:val="24"/>
          <w:szCs w:val="24"/>
          <w:lang w:val="it-IT"/>
        </w:rPr>
      </w:pPr>
      <w:r w:rsidRPr="00972BC0">
        <w:rPr>
          <w:rFonts w:ascii="Times New Roman" w:hAnsi="Times New Roman"/>
          <w:color w:val="000000"/>
          <w:sz w:val="24"/>
          <w:szCs w:val="24"/>
          <w:lang w:val="it-IT"/>
        </w:rPr>
        <w:t xml:space="preserve">Pentru a asigura comparabilitatea si transparenta în prezentarea </w:t>
      </w:r>
      <w:r w:rsidR="00D71C61">
        <w:rPr>
          <w:rFonts w:ascii="Times New Roman" w:hAnsi="Times New Roman"/>
          <w:color w:val="000000"/>
          <w:sz w:val="24"/>
          <w:szCs w:val="24"/>
          <w:lang w:val="it-IT"/>
        </w:rPr>
        <w:t>indicatorilor</w:t>
      </w:r>
      <w:r w:rsidRPr="00972BC0">
        <w:rPr>
          <w:rFonts w:ascii="Times New Roman" w:hAnsi="Times New Roman"/>
          <w:color w:val="000000"/>
          <w:sz w:val="24"/>
          <w:szCs w:val="24"/>
          <w:lang w:val="it-IT"/>
        </w:rPr>
        <w:t xml:space="preserve"> determina</w:t>
      </w:r>
      <w:r>
        <w:rPr>
          <w:rFonts w:ascii="Times New Roman" w:hAnsi="Times New Roman"/>
          <w:color w:val="000000"/>
          <w:sz w:val="24"/>
          <w:szCs w:val="24"/>
          <w:lang w:val="it-IT"/>
        </w:rPr>
        <w:t>ţ</w:t>
      </w:r>
      <w:r w:rsidRPr="00972BC0">
        <w:rPr>
          <w:rFonts w:ascii="Times New Roman" w:hAnsi="Times New Roman"/>
          <w:color w:val="000000"/>
          <w:sz w:val="24"/>
          <w:szCs w:val="24"/>
          <w:lang w:val="it-IT"/>
        </w:rPr>
        <w:t>i pe baza informa</w:t>
      </w:r>
      <w:r>
        <w:rPr>
          <w:rFonts w:ascii="Times New Roman" w:hAnsi="Times New Roman"/>
          <w:color w:val="000000"/>
          <w:sz w:val="24"/>
          <w:szCs w:val="24"/>
          <w:lang w:val="it-IT"/>
        </w:rPr>
        <w:t>ţ</w:t>
      </w:r>
      <w:r w:rsidRPr="00972BC0">
        <w:rPr>
          <w:rFonts w:ascii="Times New Roman" w:hAnsi="Times New Roman"/>
          <w:color w:val="000000"/>
          <w:sz w:val="24"/>
          <w:szCs w:val="24"/>
          <w:lang w:val="it-IT"/>
        </w:rPr>
        <w:t>iilor din situa</w:t>
      </w:r>
      <w:r>
        <w:rPr>
          <w:rFonts w:ascii="Times New Roman" w:hAnsi="Times New Roman"/>
          <w:color w:val="000000"/>
          <w:sz w:val="24"/>
          <w:szCs w:val="24"/>
          <w:lang w:val="it-IT"/>
        </w:rPr>
        <w:t>ţ</w:t>
      </w:r>
      <w:r w:rsidRPr="00972BC0">
        <w:rPr>
          <w:rFonts w:ascii="Times New Roman" w:hAnsi="Times New Roman"/>
          <w:color w:val="000000"/>
          <w:sz w:val="24"/>
          <w:szCs w:val="24"/>
          <w:lang w:val="it-IT"/>
        </w:rPr>
        <w:t xml:space="preserve">ile financiare, ESMA a lansat în consultare publică </w:t>
      </w:r>
      <w:hyperlink r:id="rId9" w:history="1">
        <w:r w:rsidRPr="00972BC0">
          <w:rPr>
            <w:rStyle w:val="Hyperlink"/>
            <w:rFonts w:ascii="Times New Roman" w:hAnsi="Times New Roman"/>
            <w:bCs/>
            <w:sz w:val="24"/>
            <w:szCs w:val="24"/>
            <w:lang w:val="it-IT"/>
          </w:rPr>
          <w:t>Ghidul priv</w:t>
        </w:r>
        <w:r w:rsidRPr="00972BC0">
          <w:rPr>
            <w:rStyle w:val="Hyperlink"/>
            <w:rFonts w:ascii="Times New Roman" w:hAnsi="Times New Roman"/>
            <w:bCs/>
            <w:sz w:val="24"/>
            <w:szCs w:val="24"/>
            <w:lang w:val="it-IT"/>
          </w:rPr>
          <w:t>i</w:t>
        </w:r>
        <w:r w:rsidRPr="00972BC0">
          <w:rPr>
            <w:rStyle w:val="Hyperlink"/>
            <w:rFonts w:ascii="Times New Roman" w:hAnsi="Times New Roman"/>
            <w:bCs/>
            <w:sz w:val="24"/>
            <w:szCs w:val="24"/>
            <w:lang w:val="it-IT"/>
          </w:rPr>
          <w:t>n</w:t>
        </w:r>
        <w:r w:rsidRPr="00972BC0">
          <w:rPr>
            <w:rStyle w:val="Hyperlink"/>
            <w:rFonts w:ascii="Times New Roman" w:hAnsi="Times New Roman"/>
            <w:bCs/>
            <w:sz w:val="24"/>
            <w:szCs w:val="24"/>
            <w:lang w:val="it-IT"/>
          </w:rPr>
          <w:t>d indicatorii alternativi de performanţă</w:t>
        </w:r>
      </w:hyperlink>
      <w:r w:rsidRPr="00972BC0">
        <w:rPr>
          <w:rFonts w:ascii="Times New Roman" w:hAnsi="Times New Roman"/>
          <w:bCs/>
          <w:sz w:val="24"/>
          <w:szCs w:val="24"/>
          <w:lang w:val="it-IT"/>
        </w:rPr>
        <w:t xml:space="preserve">. Grupa de lucru FEE va elabora o scrisoare de comentarii la acest ghid. Subiectul a fost investigat </w:t>
      </w:r>
      <w:r>
        <w:rPr>
          <w:rFonts w:ascii="Times New Roman" w:hAnsi="Times New Roman"/>
          <w:bCs/>
          <w:sz w:val="24"/>
          <w:szCs w:val="24"/>
          <w:lang w:val="it-IT"/>
        </w:rPr>
        <w:t>ş</w:t>
      </w:r>
      <w:r w:rsidRPr="00972BC0">
        <w:rPr>
          <w:rFonts w:ascii="Times New Roman" w:hAnsi="Times New Roman"/>
          <w:bCs/>
          <w:sz w:val="24"/>
          <w:szCs w:val="24"/>
          <w:lang w:val="it-IT"/>
        </w:rPr>
        <w:t xml:space="preserve">i de Comitetul PAIB al IFAC care a emis pe 26 februarie 2014 </w:t>
      </w:r>
      <w:r w:rsidRPr="00972BC0">
        <w:rPr>
          <w:rFonts w:ascii="Times New Roman" w:hAnsi="Times New Roman"/>
          <w:sz w:val="24"/>
          <w:szCs w:val="24"/>
          <w:lang w:val="it-IT"/>
        </w:rPr>
        <w:t xml:space="preserve">un ghid de bune practici privind </w:t>
      </w:r>
      <w:hyperlink r:id="rId10" w:history="1">
        <w:r w:rsidRPr="00972BC0">
          <w:rPr>
            <w:rStyle w:val="Hyperlink"/>
            <w:rFonts w:ascii="Times New Roman" w:hAnsi="Times New Roman"/>
            <w:sz w:val="24"/>
            <w:szCs w:val="24"/>
            <w:lang w:val="it-IT"/>
          </w:rPr>
          <w:t>Dezvoltarea şi raportarea de indicatori financiari suplimentari</w:t>
        </w:r>
      </w:hyperlink>
      <w:r w:rsidRPr="00972BC0">
        <w:rPr>
          <w:rFonts w:ascii="Times New Roman" w:hAnsi="Times New Roman"/>
          <w:sz w:val="24"/>
          <w:szCs w:val="24"/>
          <w:lang w:val="it-IT"/>
        </w:rPr>
        <w:t xml:space="preserve">. </w:t>
      </w:r>
    </w:p>
    <w:p w:rsidR="000B2C79" w:rsidRDefault="000B2C79" w:rsidP="000B2C79">
      <w:pPr>
        <w:autoSpaceDE w:val="0"/>
        <w:autoSpaceDN w:val="0"/>
        <w:adjustRightInd w:val="0"/>
        <w:spacing w:after="0" w:line="240" w:lineRule="auto"/>
        <w:jc w:val="left"/>
        <w:rPr>
          <w:sz w:val="24"/>
          <w:szCs w:val="24"/>
          <w:lang w:val="it-IT"/>
        </w:rPr>
      </w:pPr>
    </w:p>
    <w:p w:rsidR="000B2C79" w:rsidRDefault="000B2C79" w:rsidP="000B2C79">
      <w:pPr>
        <w:autoSpaceDE w:val="0"/>
        <w:autoSpaceDN w:val="0"/>
        <w:adjustRightInd w:val="0"/>
        <w:spacing w:after="0" w:line="240" w:lineRule="auto"/>
        <w:rPr>
          <w:rFonts w:ascii="Times New Roman" w:hAnsi="Times New Roman"/>
          <w:sz w:val="24"/>
          <w:szCs w:val="24"/>
          <w:lang w:val="it-IT"/>
        </w:rPr>
      </w:pPr>
      <w:r>
        <w:rPr>
          <w:rFonts w:ascii="Times New Roman" w:hAnsi="Times New Roman"/>
          <w:sz w:val="24"/>
          <w:szCs w:val="24"/>
          <w:lang w:val="it-IT"/>
        </w:rPr>
        <w:t xml:space="preserve">În martie 2014 </w:t>
      </w:r>
      <w:hyperlink r:id="rId11" w:history="1">
        <w:r w:rsidRPr="00E73D7E">
          <w:rPr>
            <w:rStyle w:val="Hyperlink"/>
            <w:rFonts w:ascii="Times New Roman" w:hAnsi="Times New Roman"/>
            <w:sz w:val="24"/>
            <w:szCs w:val="24"/>
            <w:lang w:val="it-IT"/>
          </w:rPr>
          <w:t>Comisia europeană inte</w:t>
        </w:r>
        <w:r w:rsidRPr="00E73D7E">
          <w:rPr>
            <w:rStyle w:val="Hyperlink"/>
            <w:rFonts w:ascii="Times New Roman" w:hAnsi="Times New Roman"/>
            <w:sz w:val="24"/>
            <w:szCs w:val="24"/>
            <w:lang w:val="it-IT"/>
          </w:rPr>
          <w:t>n</w:t>
        </w:r>
        <w:r w:rsidRPr="00E73D7E">
          <w:rPr>
            <w:rStyle w:val="Hyperlink"/>
            <w:rFonts w:ascii="Times New Roman" w:hAnsi="Times New Roman"/>
            <w:sz w:val="24"/>
            <w:szCs w:val="24"/>
            <w:lang w:val="it-IT"/>
          </w:rPr>
          <w:t>ţionează să comunice</w:t>
        </w:r>
      </w:hyperlink>
      <w:r w:rsidRPr="00B11A51">
        <w:rPr>
          <w:rFonts w:ascii="Times New Roman" w:hAnsi="Times New Roman"/>
          <w:sz w:val="24"/>
          <w:szCs w:val="24"/>
          <w:lang w:val="it-IT"/>
        </w:rPr>
        <w:t xml:space="preserve"> o serie de măsuri în vederea stimulării finan</w:t>
      </w:r>
      <w:r>
        <w:rPr>
          <w:rFonts w:ascii="Times New Roman" w:hAnsi="Times New Roman"/>
          <w:sz w:val="24"/>
          <w:szCs w:val="24"/>
          <w:lang w:val="it-IT"/>
        </w:rPr>
        <w:t>ţ</w:t>
      </w:r>
      <w:r w:rsidRPr="00B11A51">
        <w:rPr>
          <w:rFonts w:ascii="Times New Roman" w:hAnsi="Times New Roman"/>
          <w:sz w:val="24"/>
          <w:szCs w:val="24"/>
          <w:lang w:val="it-IT"/>
        </w:rPr>
        <w:t>ării pe termen lung  care se vor concretiza în ini</w:t>
      </w:r>
      <w:r>
        <w:rPr>
          <w:rFonts w:ascii="Times New Roman" w:hAnsi="Times New Roman"/>
          <w:sz w:val="24"/>
          <w:szCs w:val="24"/>
          <w:lang w:val="it-IT"/>
        </w:rPr>
        <w:t>ţ</w:t>
      </w:r>
      <w:r w:rsidRPr="00B11A51">
        <w:rPr>
          <w:rFonts w:ascii="Times New Roman" w:hAnsi="Times New Roman"/>
          <w:sz w:val="24"/>
          <w:szCs w:val="24"/>
          <w:lang w:val="it-IT"/>
        </w:rPr>
        <w:t xml:space="preserve">iative legislative ce vizează amendarea Directivei 41/2003 </w:t>
      </w:r>
      <w:r w:rsidRPr="00B11A51">
        <w:rPr>
          <w:rFonts w:ascii="Times New Roman" w:hAnsi="Times New Roman"/>
          <w:bCs/>
          <w:color w:val="231F20"/>
          <w:sz w:val="24"/>
          <w:szCs w:val="24"/>
          <w:lang w:val="it-IT"/>
        </w:rPr>
        <w:t>privind activită</w:t>
      </w:r>
      <w:r>
        <w:rPr>
          <w:rFonts w:ascii="Times New Roman" w:hAnsi="Cambria Math"/>
          <w:bCs/>
          <w:color w:val="231F20"/>
          <w:sz w:val="24"/>
          <w:szCs w:val="24"/>
          <w:lang w:val="it-IT"/>
        </w:rPr>
        <w:t>ţ</w:t>
      </w:r>
      <w:r w:rsidRPr="00B11A51">
        <w:rPr>
          <w:rFonts w:ascii="Times New Roman" w:hAnsi="Times New Roman"/>
          <w:bCs/>
          <w:color w:val="231F20"/>
          <w:sz w:val="24"/>
          <w:szCs w:val="24"/>
          <w:lang w:val="it-IT"/>
        </w:rPr>
        <w:t xml:space="preserve">ile </w:t>
      </w:r>
      <w:r>
        <w:rPr>
          <w:rFonts w:ascii="Times New Roman" w:hAnsi="Cambria Math"/>
          <w:bCs/>
          <w:color w:val="231F20"/>
          <w:sz w:val="24"/>
          <w:szCs w:val="24"/>
          <w:lang w:val="it-IT"/>
        </w:rPr>
        <w:t>ş</w:t>
      </w:r>
      <w:r w:rsidRPr="00B11A51">
        <w:rPr>
          <w:rFonts w:ascii="Times New Roman" w:hAnsi="Times New Roman"/>
          <w:bCs/>
          <w:color w:val="231F20"/>
          <w:sz w:val="24"/>
          <w:szCs w:val="24"/>
          <w:lang w:val="it-IT"/>
        </w:rPr>
        <w:t>i supravegherea institu</w:t>
      </w:r>
      <w:r>
        <w:rPr>
          <w:rFonts w:ascii="Times New Roman" w:hAnsi="Cambria Math"/>
          <w:bCs/>
          <w:color w:val="231F20"/>
          <w:sz w:val="24"/>
          <w:szCs w:val="24"/>
          <w:lang w:val="it-IT"/>
        </w:rPr>
        <w:t>ţ</w:t>
      </w:r>
      <w:r w:rsidRPr="00B11A51">
        <w:rPr>
          <w:rFonts w:ascii="Times New Roman" w:hAnsi="Times New Roman"/>
          <w:bCs/>
          <w:color w:val="231F20"/>
          <w:sz w:val="24"/>
          <w:szCs w:val="24"/>
          <w:lang w:val="it-IT"/>
        </w:rPr>
        <w:t>iilor pentru furnizarea de pensii ocupa</w:t>
      </w:r>
      <w:r>
        <w:rPr>
          <w:rFonts w:ascii="Times New Roman" w:hAnsi="Cambria Math"/>
          <w:bCs/>
          <w:color w:val="231F20"/>
          <w:sz w:val="24"/>
          <w:szCs w:val="24"/>
          <w:lang w:val="it-IT"/>
        </w:rPr>
        <w:t>ţ</w:t>
      </w:r>
      <w:r w:rsidRPr="00B11A51">
        <w:rPr>
          <w:rFonts w:ascii="Times New Roman" w:hAnsi="Times New Roman"/>
          <w:bCs/>
          <w:color w:val="231F20"/>
          <w:sz w:val="24"/>
          <w:szCs w:val="24"/>
          <w:lang w:val="it-IT"/>
        </w:rPr>
        <w:t>ionale</w:t>
      </w:r>
      <w:r w:rsidRPr="00B11A51">
        <w:rPr>
          <w:rFonts w:ascii="Times New Roman" w:hAnsi="Times New Roman"/>
          <w:sz w:val="24"/>
          <w:szCs w:val="24"/>
          <w:lang w:val="it-IT"/>
        </w:rPr>
        <w:t>, o propunere de Directivă pentru a facilita activităţile internaţionale ale IMM</w:t>
      </w:r>
      <w:r>
        <w:rPr>
          <w:rFonts w:ascii="Times New Roman" w:hAnsi="Times New Roman"/>
          <w:sz w:val="24"/>
          <w:szCs w:val="24"/>
          <w:lang w:val="it-IT"/>
        </w:rPr>
        <w:t>-</w:t>
      </w:r>
      <w:r w:rsidRPr="00B11A51">
        <w:rPr>
          <w:rFonts w:ascii="Times New Roman" w:hAnsi="Times New Roman"/>
          <w:sz w:val="24"/>
          <w:szCs w:val="24"/>
          <w:lang w:val="it-IT"/>
        </w:rPr>
        <w:t xml:space="preserve">urilor, revizuirea Directivei 36/2007 privind drepturile acţionarilor, elaborarea unei recomandări de îmbunătăţire a calităţii rapoartelor privind guvernanţa corporativă </w:t>
      </w:r>
      <w:r>
        <w:rPr>
          <w:rFonts w:ascii="Times New Roman" w:hAnsi="Times New Roman"/>
          <w:sz w:val="24"/>
          <w:szCs w:val="24"/>
          <w:lang w:val="it-IT"/>
        </w:rPr>
        <w:t>ş</w:t>
      </w:r>
      <w:r w:rsidRPr="00B11A51">
        <w:rPr>
          <w:rFonts w:ascii="Times New Roman" w:hAnsi="Times New Roman"/>
          <w:sz w:val="24"/>
          <w:szCs w:val="24"/>
          <w:lang w:val="it-IT"/>
        </w:rPr>
        <w:t xml:space="preserve">i a unei comunicări privind finanţarea de tip 'crowdfunding'. </w:t>
      </w:r>
      <w:r>
        <w:rPr>
          <w:rFonts w:ascii="Times New Roman" w:hAnsi="Times New Roman"/>
          <w:sz w:val="24"/>
          <w:szCs w:val="24"/>
          <w:lang w:val="it-IT"/>
        </w:rPr>
        <w:t>Aceste măsuri vizează mobilizarea surselor private de finanţare pe termen lung, utilizarea mai eficientă a fondurilor publice, dezvoltarea pieţelor de capital, îmbunătăţirea accesului IMM urilor la finanţare şi atragerea finanţării private pentru infrastructură. Grupa de lucru va urmări activităţile Comisiei care vizează raportarea corporativă pentru a contribui la dezbaterile publice.</w:t>
      </w:r>
    </w:p>
    <w:p w:rsidR="000B2C79" w:rsidRDefault="000B2C79" w:rsidP="000B2C79">
      <w:pPr>
        <w:autoSpaceDE w:val="0"/>
        <w:autoSpaceDN w:val="0"/>
        <w:adjustRightInd w:val="0"/>
        <w:spacing w:after="0" w:line="240" w:lineRule="auto"/>
        <w:rPr>
          <w:rFonts w:ascii="Times New Roman" w:hAnsi="Times New Roman"/>
          <w:sz w:val="24"/>
          <w:szCs w:val="24"/>
          <w:lang w:val="it-IT"/>
        </w:rPr>
      </w:pPr>
    </w:p>
    <w:p w:rsidR="000B2C79" w:rsidRDefault="000B2C79" w:rsidP="000B2C79">
      <w:pPr>
        <w:autoSpaceDE w:val="0"/>
        <w:autoSpaceDN w:val="0"/>
        <w:adjustRightInd w:val="0"/>
        <w:spacing w:after="0" w:line="240" w:lineRule="auto"/>
        <w:rPr>
          <w:rFonts w:ascii="Times New Roman" w:hAnsi="Times New Roman"/>
          <w:sz w:val="24"/>
          <w:szCs w:val="24"/>
          <w:lang w:val="it-IT"/>
        </w:rPr>
      </w:pPr>
    </w:p>
    <w:p w:rsidR="000B2C79" w:rsidRDefault="000B2C79" w:rsidP="000B2C79">
      <w:pPr>
        <w:autoSpaceDE w:val="0"/>
        <w:autoSpaceDN w:val="0"/>
        <w:adjustRightInd w:val="0"/>
        <w:spacing w:after="0" w:line="240" w:lineRule="auto"/>
        <w:rPr>
          <w:rFonts w:ascii="Times New Roman" w:hAnsi="Times New Roman"/>
          <w:sz w:val="24"/>
          <w:szCs w:val="24"/>
          <w:lang w:val="it-IT"/>
        </w:rPr>
      </w:pPr>
    </w:p>
    <w:p w:rsidR="000B2C79" w:rsidRDefault="000B2C79" w:rsidP="000B2C79">
      <w:pPr>
        <w:autoSpaceDE w:val="0"/>
        <w:autoSpaceDN w:val="0"/>
        <w:adjustRightInd w:val="0"/>
        <w:spacing w:after="0" w:line="240" w:lineRule="auto"/>
        <w:rPr>
          <w:rFonts w:ascii="Times New Roman" w:hAnsi="Times New Roman"/>
          <w:sz w:val="24"/>
          <w:szCs w:val="24"/>
          <w:lang w:val="it-IT"/>
        </w:rPr>
      </w:pPr>
    </w:p>
    <w:p w:rsidR="000B2C79" w:rsidRDefault="000B2C79" w:rsidP="000B2C79">
      <w:pPr>
        <w:autoSpaceDE w:val="0"/>
        <w:autoSpaceDN w:val="0"/>
        <w:adjustRightInd w:val="0"/>
        <w:spacing w:after="0" w:line="240" w:lineRule="auto"/>
        <w:rPr>
          <w:rFonts w:ascii="Times New Roman" w:hAnsi="Times New Roman"/>
          <w:sz w:val="24"/>
          <w:szCs w:val="24"/>
          <w:lang w:val="it-IT"/>
        </w:rPr>
      </w:pPr>
    </w:p>
    <w:p w:rsidR="000B2C79" w:rsidRDefault="000B2C79" w:rsidP="000B2C79">
      <w:pPr>
        <w:autoSpaceDE w:val="0"/>
        <w:autoSpaceDN w:val="0"/>
        <w:adjustRightInd w:val="0"/>
        <w:spacing w:after="0" w:line="240" w:lineRule="auto"/>
        <w:rPr>
          <w:rFonts w:ascii="Times New Roman" w:hAnsi="Times New Roman"/>
          <w:sz w:val="24"/>
          <w:szCs w:val="24"/>
          <w:lang w:val="it-IT"/>
        </w:rPr>
      </w:pPr>
    </w:p>
    <w:p w:rsidR="000B2C79" w:rsidRPr="00B11A51" w:rsidRDefault="000B2C79" w:rsidP="000B2C79">
      <w:pPr>
        <w:autoSpaceDE w:val="0"/>
        <w:autoSpaceDN w:val="0"/>
        <w:adjustRightInd w:val="0"/>
        <w:spacing w:after="0" w:line="240" w:lineRule="auto"/>
        <w:rPr>
          <w:rFonts w:ascii="Times New Roman" w:hAnsi="Times New Roman"/>
          <w:sz w:val="24"/>
          <w:szCs w:val="24"/>
          <w:lang w:val="it-IT"/>
        </w:rPr>
      </w:pPr>
    </w:p>
    <w:p w:rsidR="000B2C79" w:rsidRDefault="000B2C79" w:rsidP="000B2C79">
      <w:pPr>
        <w:autoSpaceDE w:val="0"/>
        <w:autoSpaceDN w:val="0"/>
        <w:adjustRightInd w:val="0"/>
        <w:spacing w:after="0" w:line="240" w:lineRule="auto"/>
        <w:rPr>
          <w:rFonts w:ascii="Times New Roman" w:hAnsi="Times New Roman"/>
          <w:sz w:val="24"/>
          <w:szCs w:val="24"/>
          <w:lang w:val="it-IT"/>
        </w:rPr>
      </w:pPr>
    </w:p>
    <w:p w:rsidR="00CC0F9B" w:rsidRDefault="00CC0F9B"/>
    <w:sectPr w:rsidR="00CC0F9B" w:rsidSect="00CC0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C79"/>
    <w:rsid w:val="000B2C79"/>
    <w:rsid w:val="001E4910"/>
    <w:rsid w:val="00254FD2"/>
    <w:rsid w:val="00B61D43"/>
    <w:rsid w:val="00C765E1"/>
    <w:rsid w:val="00CC0F9B"/>
    <w:rsid w:val="00D71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7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79"/>
    <w:rPr>
      <w:color w:val="0000FF"/>
      <w:u w:val="single"/>
    </w:rPr>
  </w:style>
  <w:style w:type="paragraph" w:customStyle="1" w:styleId="CM1">
    <w:name w:val="CM1"/>
    <w:basedOn w:val="Normal"/>
    <w:next w:val="Normal"/>
    <w:uiPriority w:val="99"/>
    <w:rsid w:val="000B2C79"/>
    <w:pPr>
      <w:autoSpaceDE w:val="0"/>
      <w:autoSpaceDN w:val="0"/>
      <w:adjustRightInd w:val="0"/>
      <w:spacing w:after="0" w:line="240" w:lineRule="auto"/>
      <w:jc w:val="left"/>
    </w:pPr>
    <w:rPr>
      <w:rFonts w:ascii="EUAlbertina" w:hAnsi="EUAlbertina"/>
      <w:sz w:val="24"/>
      <w:szCs w:val="24"/>
    </w:rPr>
  </w:style>
  <w:style w:type="character" w:styleId="FollowedHyperlink">
    <w:name w:val="FollowedHyperlink"/>
    <w:basedOn w:val="DefaultParagraphFont"/>
    <w:uiPriority w:val="99"/>
    <w:semiHidden/>
    <w:unhideWhenUsed/>
    <w:rsid w:val="000B2C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internal_market/accounting/docs/governance/reform/131112_report_en.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lex.europa.eu/LexUriServ/LexUriServ.do?uri=OJ:L:2013:176:0338:0436:RO: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e.be/index.php?option=com_content&amp;view=article&amp;id=1391:fee-comments-on-country-by-country-reporting-requirements-under-article-89-of-the-capital-requirements-directive-iv-2013-36-eu&amp;catid=33:banks&amp;Itemid=106" TargetMode="External"/><Relationship Id="rId11" Type="http://schemas.openxmlformats.org/officeDocument/2006/relationships/hyperlink" Target="http://www.europolitics.info/commission-to-mobilise-institutional-investors-artb360442-1.html" TargetMode="External"/><Relationship Id="rId5" Type="http://schemas.openxmlformats.org/officeDocument/2006/relationships/hyperlink" Target="http://www.esma.europa.eu/content/ESMA-Guidelines-Alternative-Performance-Measures" TargetMode="External"/><Relationship Id="rId10" Type="http://schemas.openxmlformats.org/officeDocument/2006/relationships/hyperlink" Target="http://ifac.us7.list-manage2.com/track/click?u=9e7d9671563ff754a328b2833&amp;id=bdc92eaf42&amp;e=5e8e47ff37" TargetMode="External"/><Relationship Id="rId4" Type="http://schemas.openxmlformats.org/officeDocument/2006/relationships/hyperlink" Target="http://ec.europa.eu/internal_market/accounting/docs/governance/reform/131112_report_en.pdf" TargetMode="External"/><Relationship Id="rId9" Type="http://schemas.openxmlformats.org/officeDocument/2006/relationships/hyperlink" Target="http://www.esma.europa.eu/content/ESMA-Guidelines-Alternative-Performance-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ceccar86</dc:creator>
  <cp:keywords/>
  <dc:description/>
  <cp:lastModifiedBy>ceccar86</cp:lastModifiedBy>
  <cp:revision>3</cp:revision>
  <dcterms:created xsi:type="dcterms:W3CDTF">2014-03-05T11:56:00Z</dcterms:created>
  <dcterms:modified xsi:type="dcterms:W3CDTF">2014-03-05T12:03:00Z</dcterms:modified>
</cp:coreProperties>
</file>